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21BB" w:rsidR="00AB3F4E" w:rsidP="008C21BB" w:rsidRDefault="00AB3F4E" w14:paraId="6BCB5371" w14:textId="77777777" w14:noSpellErr="1">
      <w:pPr>
        <w:pStyle w:val="DCAText"/>
      </w:pPr>
    </w:p>
    <w:p w:rsidR="3F8E16B8" w:rsidP="3F8E16B8" w:rsidRDefault="3F8E16B8" w14:paraId="01B019DD" w14:textId="1DDA115D">
      <w:pPr>
        <w:pStyle w:val="DCAText"/>
      </w:pPr>
    </w:p>
    <w:p w:rsidR="008C21BB" w:rsidP="008C21BB" w:rsidRDefault="008C21BB" w14:paraId="0E7C1FA8" w14:textId="3A8FAC08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000B27EC" w14:paraId="4FF34FE7" w14:textId="77777777">
        <w:trPr>
          <w:trHeight w:val="212"/>
        </w:trPr>
        <w:tc>
          <w:tcPr>
            <w:tcW w:w="599" w:type="dxa"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4B4E0F03" w14:textId="361DAC1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3F942CF4" w14:textId="2F54ED0E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6CE4141E" w14:textId="0E525B2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4F3CF6A0" w14:textId="0EC8C8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2A1B0FA7" w14:textId="0883ACE6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:rsidRPr="00253AE9" w:rsidR="008C21BB" w:rsidP="008C21BB" w:rsidRDefault="00EE1DED" w14:paraId="6CCEDEDE" w14:textId="1C92384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17C31C8C" w14:textId="20BC7560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8C21BB" w:rsidP="008C21BB" w:rsidRDefault="00EE1DED" w14:paraId="190369AE" w14:textId="3861957C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8C21BB" w:rsidP="008C21BB" w:rsidRDefault="00EE1DED" w14:paraId="3A6B7359" w14:textId="1E5757A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08D754C0" w14:textId="3916DF5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6C839F91" w14:textId="72D11AE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547322AD" w14:textId="25B3920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27282F51" w14:textId="01E6A99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13</w:t>
            </w:r>
          </w:p>
        </w:tc>
      </w:tr>
      <w:tr w:rsidRPr="00253AE9" w:rsidR="008C21BB" w:rsidTr="000B27EC" w14:paraId="699D200F" w14:textId="77777777">
        <w:trPr>
          <w:trHeight w:val="85"/>
        </w:trPr>
        <w:tc>
          <w:tcPr>
            <w:tcW w:w="599" w:type="dxa"/>
            <w:vMerge w:val="restart"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:rsidRPr="00253AE9" w:rsidR="008C21BB" w:rsidP="008C21BB" w:rsidRDefault="008C21BB" w14:paraId="52892539" w14:textId="4590383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64227DCE" w14:textId="663D546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7919E1FF" w14:textId="611066A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06BE9421" w14:textId="492FC79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0513641A" w14:textId="6F393EF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:rsidRPr="00253AE9" w:rsidR="008C21BB" w:rsidP="008C21BB" w:rsidRDefault="008C21BB" w14:paraId="6ED17F6C" w14:textId="44502A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0E2FCA07" w14:textId="7A23590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8C21BB" w:rsidP="008C21BB" w:rsidRDefault="008C21BB" w14:paraId="3F2793A5" w14:textId="07A4FE9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8C21BB" w:rsidP="008C21BB" w:rsidRDefault="008C21BB" w14:paraId="53B053C0" w14:textId="700BFC93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43CA40AE" w14:textId="7C8B1F0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623CA52D" w14:textId="7766287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53B9B1E7" w14:textId="7B0AD2F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3B41E569" w14:textId="13E0808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154EDA" w:rsidTr="000B27EC" w14:paraId="2DABEFE8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154EDA" w:rsidP="00154EDA" w:rsidRDefault="00154EDA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154EDA" w:rsidP="00154EDA" w:rsidRDefault="00154EDA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5A39BBE3" w14:textId="05DA590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7C40AD16" w14:textId="0AD704E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:rsidR="00154EDA" w:rsidP="00154EDA" w:rsidRDefault="00154EDA" w14:paraId="3EF66BC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:rsidRPr="00253AE9" w:rsidR="0061780C" w:rsidP="00154EDA" w:rsidRDefault="0061780C" w14:paraId="41C8F396" w14:textId="229D979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72A3D3EC" w14:textId="1DA4F60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:rsidRPr="00253AE9" w:rsidR="00154EDA" w:rsidP="00154EDA" w:rsidRDefault="00154EDA" w14:paraId="0D0B940D" w14:textId="149874B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0E27B00A" w14:textId="5332A1F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60061E4C" w14:textId="77C6111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154EDA" w:rsidP="00154EDA" w:rsidRDefault="00154EDA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154EDA" w:rsidP="00154EDA" w:rsidRDefault="00154EDA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154EDA" w:rsidP="00154EDA" w:rsidRDefault="00154EDA" w14:paraId="346C6C30" w14:textId="4BC7CC9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68739448" w14:textId="32FAB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61780C" w14:paraId="44EAFD9C" w14:textId="2012FF5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E52BAC" w:rsidTr="003D3AA5" w14:paraId="3DEEC669" w14:textId="7777777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:rsidRPr="00253AE9" w:rsidR="00E52BAC" w:rsidP="00E52BAC" w:rsidRDefault="00E52BAC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Pr="00253AE9" w:rsidR="00E52BAC" w:rsidP="00E52BAC" w:rsidRDefault="00E52BAC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 w:rsidRPr="00253AE9" w:rsidR="00E52BAC" w:rsidP="00E52BAC" w:rsidRDefault="00E52BAC" w14:paraId="049F31CB" w14:textId="751AD98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:rsidRPr="00253AE9" w:rsidR="00E52BAC" w:rsidP="00E52BAC" w:rsidRDefault="00E52BAC" w14:paraId="53128261" w14:textId="2218DD8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62486C05" w14:textId="2EF83048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4101652C" w14:textId="02610DA1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:rsidRPr="00253AE9" w:rsidR="00E52BAC" w:rsidP="00E52BAC" w:rsidRDefault="00E52BAC" w14:paraId="4B99056E" w14:textId="60549A4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:rsidRPr="00253AE9" w:rsidR="00E52BAC" w:rsidP="00E52BAC" w:rsidRDefault="00E52BAC" w14:paraId="1299C43A" w14:textId="28B05A63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E52BAC" w:rsidP="00E52BAC" w:rsidRDefault="00E52BAC" w14:paraId="4DDBEF00" w14:textId="10884D5A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E52BAC" w:rsidP="00E52BAC" w:rsidRDefault="00E52BAC" w14:paraId="3461D779" w14:textId="7AF87E4A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3CF2D8B6" w14:textId="2A11E57B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0FB78278" w14:textId="0B9D58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1FC39945" w14:textId="2E4F94C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0562CB0E" w14:textId="3E0B3DA1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</w:tr>
      <w:tr w:rsidRPr="00253AE9" w:rsidR="00E52BAC" w:rsidTr="000D474C" w14:paraId="0C60D1C2" w14:textId="77777777">
        <w:trPr>
          <w:cantSplit/>
          <w:trHeight w:val="657"/>
        </w:trPr>
        <w:tc>
          <w:tcPr>
            <w:tcW w:w="599" w:type="dxa"/>
            <w:textDirection w:val="btLr"/>
          </w:tcPr>
          <w:p w:rsidRPr="00253AE9" w:rsidR="00E52BAC" w:rsidP="00E52BAC" w:rsidRDefault="00E52BAC" w14:paraId="7FCF0D2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Pr="00253AE9" w:rsidR="00E52BAC" w:rsidP="00E52BAC" w:rsidRDefault="00E52BAC" w14:paraId="45384146" w14:textId="7777777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</w:tcPr>
          <w:p w:rsidR="00E52BAC" w:rsidP="00E52BAC" w:rsidRDefault="00E52BAC" w14:paraId="34F3A8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="00E52BAC" w:rsidP="00E52BAC" w:rsidRDefault="00E52BAC" w14:paraId="0282A1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="00E52BAC" w:rsidP="00E52BAC" w:rsidRDefault="00E52BAC" w14:paraId="688D21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Verbs (regular and irregular)/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="00E52BAC" w:rsidP="00E52BAC" w:rsidRDefault="00E52BAC" w14:paraId="1A2CE596" w14:textId="09428DBF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Subjects and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="00E52BAC" w:rsidP="00E52BAC" w:rsidRDefault="00E52BAC" w14:paraId="594480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="00E52BAC" w:rsidP="00E52BAC" w:rsidRDefault="00E52BAC" w14:paraId="340462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School Life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="00E52BAC" w:rsidP="00E52BAC" w:rsidRDefault="00E52BAC" w14:paraId="47706616" w14:textId="274310E8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="00E52BAC" w:rsidP="00E52BAC" w:rsidRDefault="00E52BAC" w14:paraId="3E09357B" w14:textId="52EC504C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Teachers and Complex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="00E52BAC" w:rsidP="00E52BAC" w:rsidRDefault="00E52BAC" w14:paraId="02558136" w14:textId="4ED16068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Time/ A typical school 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:rsidR="00E52BAC" w:rsidP="00E52BAC" w:rsidRDefault="00E52BAC" w14:paraId="254A99B5" w14:textId="516C45BB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school uniform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:rsidR="00E52BAC" w:rsidP="00E52BAC" w:rsidRDefault="00E52BAC" w14:paraId="39F78B39" w14:textId="41BBE981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School life here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="00E52BAC" w:rsidP="00E52BAC" w:rsidRDefault="00E52BAC" w14:paraId="68A4EBB6" w14:textId="60F9DA25">
            <w:pPr>
              <w:pStyle w:val="DCATableText"/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School life in Francophonie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</w:tcPr>
          <w:p w:rsidR="00E52BAC" w:rsidP="00E52BAC" w:rsidRDefault="00E52BAC" w14:paraId="673BC2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="00E52BAC" w:rsidP="00E52BAC" w:rsidRDefault="00E52BAC" w14:paraId="7A99A4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Primary school and comparing with secondary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19F39570" w14:textId="7350E8C7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Pr="00253AE9" w:rsidR="00E52BAC" w:rsidP="00E52BAC" w:rsidRDefault="00E52BAC" w14:paraId="30B8A7E1" w14:textId="01FF1481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your ideal school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="00E52BAC" w:rsidP="00E52BAC" w:rsidRDefault="00E52BAC" w14:paraId="31C256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Future plans</w:t>
            </w:r>
            <w:proofErr w:type="gramEnd"/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370D3370" w14:textId="0772E63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="00E52BAC" w:rsidP="00E52BAC" w:rsidRDefault="00E52BAC" w14:paraId="5DF668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Jobs – family members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107B1B38" w14:textId="511D845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="00E52BAC" w:rsidP="00E52BAC" w:rsidRDefault="00E52BAC" w14:paraId="5DCFEA6A" w14:textId="746BABD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Jobs – comparative and superlative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  <w:tr w:rsidRPr="00253AE9" w:rsidR="00154EDA" w:rsidTr="002D07C7" w14:paraId="230D0900" w14:textId="77777777">
        <w:trPr>
          <w:trHeight w:val="85"/>
        </w:trPr>
        <w:tc>
          <w:tcPr>
            <w:tcW w:w="599" w:type="dxa"/>
            <w:vMerge w:val="restart"/>
            <w:textDirection w:val="btLr"/>
          </w:tcPr>
          <w:p w:rsidRPr="00253AE9" w:rsidR="00154EDA" w:rsidP="00154EDA" w:rsidRDefault="00154EDA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3AE9" w:rsidR="00154EDA" w:rsidP="00154EDA" w:rsidRDefault="00154EDA" w14:paraId="6B29F17E" w14:textId="6C860B9F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vAlign w:val="center"/>
          </w:tcPr>
          <w:p w:rsidRPr="00253AE9" w:rsidR="00154EDA" w:rsidP="00154EDA" w:rsidRDefault="00154EDA" w14:paraId="413D88CB" w14:textId="4C0EE469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51233B33" w14:textId="0489BC4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0B45791" w14:textId="02C1EA0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08390A36" w14:textId="4C92D26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:rsidRPr="00253AE9" w:rsidR="00154EDA" w:rsidP="00154EDA" w:rsidRDefault="00154EDA" w14:paraId="72D3B521" w14:textId="7066551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53AE9" w:rsidR="00154EDA" w:rsidP="00154EDA" w:rsidRDefault="00154EDA" w14:paraId="287EAE3F" w14:textId="424DFE0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62F1F278" w14:textId="129F7F5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29D3FF07" w14:textId="7E90E1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7293907" w14:textId="52A72F8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526CF810" w14:textId="3F1D0E8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926EC6D" w14:textId="71EF859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C086097" w14:textId="3E10C7B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154EDA" w:rsidP="00154EDA" w:rsidRDefault="00154EDA" w14:paraId="2F2EF282" w14:textId="4335DD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154EDA" w:rsidTr="00F6266B" w14:paraId="03D105B2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154EDA" w:rsidP="00154EDA" w:rsidRDefault="00154EDA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4EDA" w:rsidP="00154EDA" w:rsidRDefault="00782365" w14:paraId="56932086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:rsidRPr="00253AE9" w:rsidR="00D54D0B" w:rsidP="00154EDA" w:rsidRDefault="00D54D0B" w14:paraId="62EBF3C5" w14:textId="4C01B7FB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vAlign w:val="center"/>
          </w:tcPr>
          <w:p w:rsidRPr="00253AE9" w:rsidR="00154EDA" w:rsidP="00154EDA" w:rsidRDefault="00782365" w14:paraId="47350805" w14:textId="432BF7F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vAlign w:val="center"/>
          </w:tcPr>
          <w:p w:rsidR="00154EDA" w:rsidP="00154EDA" w:rsidRDefault="00154EDA" w14:paraId="05A68B0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:rsidRPr="00253AE9" w:rsidR="00154EDA" w:rsidP="00154EDA" w:rsidRDefault="00031489" w14:paraId="00A14B2C" w14:textId="699628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061061" w14:paraId="6D98A12B" w14:textId="7A20DE0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:rsidR="00572867" w:rsidP="00154EDA" w:rsidRDefault="00964681" w14:paraId="30F91093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:rsidRPr="00253AE9" w:rsidR="00154EDA" w:rsidP="00154EDA" w:rsidRDefault="00572867" w14:paraId="0415C660" w14:textId="5DFDB35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4EDA" w:rsidP="00154EDA" w:rsidRDefault="00154EDA" w14:paraId="08BE072E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:rsidRPr="00253AE9" w:rsidR="000326C0" w:rsidP="00154EDA" w:rsidRDefault="000326C0" w14:paraId="5997CC1D" w14:textId="6541247C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="007C6242" w:rsidP="00154EDA" w:rsidRDefault="007C6242" w14:paraId="3A3F31C8" w14:textId="0432C93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:rsidRPr="00253AE9" w:rsidR="00154EDA" w:rsidP="00154EDA" w:rsidRDefault="007C6242" w14:paraId="2E5DE49A" w14:textId="3F18ECB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154EDA" w:rsidP="00154EDA" w:rsidRDefault="00154EDA" w14:paraId="1F61D5DD" w14:textId="7777777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:rsidR="00A50462" w:rsidP="00A50462" w:rsidRDefault="00A50462" w14:paraId="0756347D" w14:textId="1918C6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:rsidR="00A50462" w:rsidP="00A50462" w:rsidRDefault="00A50462" w14:paraId="7A2A2A60" w14:textId="161002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:rsidRPr="00253AE9" w:rsidR="00A50462" w:rsidP="00154EDA" w:rsidRDefault="00A50462" w14:paraId="09A717BE" w14:textId="173D6EDB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:rsidRPr="00253AE9" w:rsidR="00154EDA" w:rsidP="00154EDA" w:rsidRDefault="00154EDA" w14:paraId="5F267D3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="00154EDA" w:rsidP="00154EDA" w:rsidRDefault="00154EDA" w14:paraId="08AFE66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53AE9" w:rsidR="00154EDA" w:rsidP="00154EDA" w:rsidRDefault="00154EDA" w14:paraId="46188774" w14:textId="4761A97C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:rsidRPr="00253AE9" w:rsidR="00154EDA" w:rsidP="00154EDA" w:rsidRDefault="00154EDA" w14:paraId="6BEDE86E" w14:textId="18444C7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154EDA" w:rsidP="00154EDA" w:rsidRDefault="0030007E" w14:paraId="110FFD37" w14:textId="2F5F442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D57B19" w14:paraId="6B699379" w14:textId="70D5117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Pr="00253AE9" w:rsidR="00E52BAC" w:rsidTr="00027711" w14:paraId="3FE9F23F" w14:textId="77777777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:rsidRPr="00253AE9" w:rsidR="00E52BAC" w:rsidP="00E52BAC" w:rsidRDefault="00E52BAC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3AE9" w:rsidR="00E52BAC" w:rsidP="00E52BAC" w:rsidRDefault="00E52BAC" w14:paraId="08CE6F91" w14:textId="1008823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</w:tcPr>
          <w:p w:rsidRPr="00253AE9" w:rsidR="00E52BAC" w:rsidP="00E52BAC" w:rsidRDefault="00E52BAC" w14:paraId="61CDCEAD" w14:textId="41DAC1F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vAlign w:val="center"/>
          </w:tcPr>
          <w:p w:rsidRPr="00253AE9" w:rsidR="00E52BAC" w:rsidP="00E52BAC" w:rsidRDefault="00E52BAC" w14:paraId="6BB9E253" w14:textId="286C5CB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23DE523C" w14:textId="602DFA4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52E56223" w14:textId="5EE649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:rsidRPr="00253AE9" w:rsidR="00E52BAC" w:rsidP="00E52BAC" w:rsidRDefault="00E52BAC" w14:paraId="07547A01" w14:textId="4397304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53AE9" w:rsidR="00E52BAC" w:rsidP="00E52BAC" w:rsidRDefault="00E52BAC" w14:paraId="5043CB0F" w14:textId="1A2489D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:rsidRPr="00E52BAC" w:rsidR="00E52BAC" w:rsidP="00E52BAC" w:rsidRDefault="00E52BAC" w14:paraId="07459315" w14:textId="5AB99F08">
            <w:pPr>
              <w:pStyle w:val="DCATableText"/>
              <w:jc w:val="left"/>
              <w:rPr>
                <w:color w:val="6600FF"/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Environment (theme 3)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</w:tcPr>
          <w:p w:rsidRPr="00253AE9" w:rsidR="00E52BAC" w:rsidP="00E52BAC" w:rsidRDefault="00E52BAC" w14:paraId="6537F28F" w14:textId="1B0E239E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Environment (theme 3) </w:t>
            </w:r>
          </w:p>
        </w:tc>
        <w:tc>
          <w:tcPr>
            <w:tcW w:w="1132" w:type="dxa"/>
          </w:tcPr>
          <w:p w:rsidRPr="00253AE9" w:rsidR="00E52BAC" w:rsidP="00E52BAC" w:rsidRDefault="00E52BAC" w14:paraId="6DFB9E20" w14:textId="701FE368">
            <w:pPr>
              <w:pStyle w:val="DCATableText"/>
              <w:jc w:val="left"/>
              <w:rPr>
                <w:sz w:val="15"/>
                <w:szCs w:val="15"/>
              </w:rPr>
            </w:pPr>
            <w:r w:rsidRPr="001F3BC9">
              <w:rPr>
                <w:color w:val="6600FF"/>
                <w:sz w:val="15"/>
                <w:szCs w:val="15"/>
              </w:rPr>
              <w:t>Environment (theme 3) </w:t>
            </w:r>
          </w:p>
        </w:tc>
        <w:tc>
          <w:tcPr>
            <w:tcW w:w="1131" w:type="dxa"/>
          </w:tcPr>
          <w:p w:rsidRPr="00253AE9" w:rsidR="00E52BAC" w:rsidP="00E52BAC" w:rsidRDefault="00E52BAC" w14:paraId="70DF9E56" w14:textId="1263EF3D">
            <w:pPr>
              <w:pStyle w:val="DCATableText"/>
              <w:jc w:val="left"/>
              <w:rPr>
                <w:sz w:val="15"/>
                <w:szCs w:val="15"/>
              </w:rPr>
            </w:pPr>
            <w:r w:rsidRPr="001F3BC9">
              <w:rPr>
                <w:color w:val="6600FF"/>
                <w:sz w:val="15"/>
                <w:szCs w:val="15"/>
              </w:rPr>
              <w:t>Environment (theme 3) </w:t>
            </w:r>
          </w:p>
        </w:tc>
        <w:tc>
          <w:tcPr>
            <w:tcW w:w="1132" w:type="dxa"/>
          </w:tcPr>
          <w:p w:rsidRPr="00253AE9" w:rsidR="00E52BAC" w:rsidP="00E52BAC" w:rsidRDefault="00E52BAC" w14:paraId="44E871BC" w14:textId="1EDDC4B7">
            <w:pPr>
              <w:pStyle w:val="DCATableText"/>
              <w:jc w:val="left"/>
              <w:rPr>
                <w:sz w:val="15"/>
                <w:szCs w:val="15"/>
              </w:rPr>
            </w:pPr>
            <w:r w:rsidRPr="001F3BC9">
              <w:rPr>
                <w:color w:val="6600FF"/>
                <w:sz w:val="15"/>
                <w:szCs w:val="15"/>
              </w:rPr>
              <w:t>Environment (theme 3) </w:t>
            </w:r>
          </w:p>
        </w:tc>
        <w:tc>
          <w:tcPr>
            <w:tcW w:w="1132" w:type="dxa"/>
          </w:tcPr>
          <w:p w:rsidRPr="00253AE9" w:rsidR="00E52BAC" w:rsidP="00E52BAC" w:rsidRDefault="00E52BAC" w14:paraId="144A5D23" w14:textId="3CD053E2">
            <w:pPr>
              <w:pStyle w:val="DCATableText"/>
              <w:jc w:val="left"/>
              <w:rPr>
                <w:sz w:val="15"/>
                <w:szCs w:val="15"/>
              </w:rPr>
            </w:pPr>
            <w:r w:rsidRPr="001F3BC9">
              <w:rPr>
                <w:color w:val="6600FF"/>
                <w:sz w:val="15"/>
                <w:szCs w:val="15"/>
              </w:rPr>
              <w:t>Environment (theme 3) </w:t>
            </w:r>
          </w:p>
        </w:tc>
      </w:tr>
      <w:tr w:rsidRPr="00253AE9" w:rsidR="00E52BAC" w:rsidTr="006D4B12" w14:paraId="7BA7B5A4" w14:textId="77777777">
        <w:trPr>
          <w:cantSplit/>
          <w:trHeight w:val="655"/>
        </w:trPr>
        <w:tc>
          <w:tcPr>
            <w:tcW w:w="599" w:type="dxa"/>
            <w:textDirection w:val="btLr"/>
          </w:tcPr>
          <w:p w:rsidRPr="00253AE9" w:rsidR="00E52BAC" w:rsidP="00E52BAC" w:rsidRDefault="00E52BAC" w14:paraId="6047893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3AE9" w:rsidR="00E52BAC" w:rsidP="00E52BAC" w:rsidRDefault="00E52BAC" w14:paraId="33691F29" w14:textId="21DDB12E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sz w:val="15"/>
                <w:szCs w:val="15"/>
              </w:rPr>
              <w:t>What there is / is not in town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</w:tcPr>
          <w:p w:rsidRPr="00253AE9" w:rsidR="00E52BAC" w:rsidP="00E52BAC" w:rsidRDefault="00E52BAC" w14:paraId="62DD4999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</w:tcPr>
          <w:p w:rsidRPr="00253AE9" w:rsidR="00E52BAC" w:rsidP="00E52BAC" w:rsidRDefault="00E52BAC" w14:paraId="5E5D6D63" w14:textId="7E90FC09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sz w:val="15"/>
                <w:szCs w:val="15"/>
              </w:rPr>
              <w:t>Town activities and opinions </w:t>
            </w:r>
          </w:p>
        </w:tc>
        <w:tc>
          <w:tcPr>
            <w:tcW w:w="1132" w:type="dxa"/>
          </w:tcPr>
          <w:p w:rsidRPr="00253AE9" w:rsidR="00E52BAC" w:rsidP="00E52BAC" w:rsidRDefault="00E52BAC" w14:paraId="413A6401" w14:textId="444784E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Using the negative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781B498F" w14:textId="06C3AD6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Transport / comparing the countryside and town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:rsidR="00E52BAC" w:rsidP="00E52BAC" w:rsidRDefault="00E52BAC" w14:paraId="1BE0F7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Life in Morocco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49E1F2ED" w14:textId="20951E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53AE9" w:rsidR="00E52BAC" w:rsidP="00E52BAC" w:rsidRDefault="00E52BAC" w14:paraId="7C315139" w14:textId="13CBDCD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where we used to live / Describing your dream town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:rsidRPr="00253AE9" w:rsidR="00E52BAC" w:rsidP="00E52BAC" w:rsidRDefault="00E52BAC" w14:paraId="0B0603D4" w14:textId="78E5FA3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Conjugating verbs to do with the environment (present tense)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</w:tcPr>
          <w:p w:rsidRPr="00253AE9" w:rsidR="00E52BAC" w:rsidP="00E52BAC" w:rsidRDefault="00E52BAC" w14:paraId="00CD82E8" w14:textId="29BE408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Nouns to do with the environment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Pr="00253AE9" w:rsidR="00E52BAC" w:rsidP="00E52BAC" w:rsidRDefault="00E52BAC" w14:paraId="6723BC2C" w14:textId="02BEDF81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Local environmental problems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:rsidR="00E52BAC" w:rsidP="00E52BAC" w:rsidRDefault="00E52BAC" w14:paraId="6F9104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Global environmental problems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60F6BF2C" w14:textId="2967460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Pr="00253AE9" w:rsidR="00E52BAC" w:rsidP="00E52BAC" w:rsidRDefault="00E52BAC" w14:paraId="7510E275" w14:textId="79F7222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Recycling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="00E52BAC" w:rsidP="00E52BAC" w:rsidRDefault="00E52BAC" w14:paraId="18E562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What we can do to help the environment from home (modal verbs)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23CC9CCA" w14:textId="32F2FF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  <w:tr w:rsidRPr="00253AE9" w:rsidR="00154EDA" w:rsidTr="002D07C7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extDirection w:val="btLr"/>
          </w:tcPr>
          <w:p w:rsidRPr="00253AE9" w:rsidR="00154EDA" w:rsidP="00154EDA" w:rsidRDefault="00154EDA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:rsidR="00154EDA" w:rsidP="00154EDA" w:rsidRDefault="00154EDA" w14:paraId="37B8B69F" w14:textId="3716C8B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:rsidRPr="00253AE9" w:rsidR="00154EDA" w:rsidP="00154EDA" w:rsidRDefault="00154EDA" w14:paraId="0B0EEA4D" w14:textId="75EC5E7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6242EDD8" w14:textId="4A9E8A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:rsidRPr="00253AE9" w:rsidR="00154EDA" w:rsidP="00154EDA" w:rsidRDefault="00154EDA" w14:paraId="0E4EDF20" w14:textId="779331C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DAD7B66" w14:textId="4EECBD4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513A8106" w14:textId="4A308BD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5B45DFC7" w14:textId="5545680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152EFC08" w14:textId="020AC06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vAlign w:val="center"/>
          </w:tcPr>
          <w:p w:rsidRPr="00253AE9" w:rsidR="00154EDA" w:rsidP="00154EDA" w:rsidRDefault="00154EDA" w14:paraId="1FCD05A9" w14:textId="570CCD8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:rsidRPr="00253AE9" w:rsidR="00154EDA" w:rsidP="00154EDA" w:rsidRDefault="00154EDA" w14:paraId="6E4CD12B" w14:textId="206853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5C759037" w14:textId="793AF24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1A4B37C8" w14:textId="416EC03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D599AA4" w14:textId="33F38D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0E41724" w14:textId="63DE7F6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154EDA" w:rsidTr="000B27EC" w14:paraId="69ED4671" w14:textId="77777777">
        <w:trPr>
          <w:cantSplit/>
          <w:trHeight w:val="283"/>
        </w:trPr>
        <w:tc>
          <w:tcPr>
            <w:tcW w:w="599" w:type="dxa"/>
            <w:vMerge/>
            <w:tcBorders>
              <w:right w:val="single" w:color="auto" w:sz="4" w:space="0"/>
            </w:tcBorders>
            <w:textDirection w:val="btLr"/>
          </w:tcPr>
          <w:p w:rsidRPr="00253AE9" w:rsidR="00154EDA" w:rsidP="00154EDA" w:rsidRDefault="00154EDA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0CB12DEC" w14:textId="27EE286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154EDA" w:rsidP="00154EDA" w:rsidRDefault="00154EDA" w14:paraId="4DD72D3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:rsidRPr="00253AE9" w:rsidR="00C10857" w:rsidP="00154EDA" w:rsidRDefault="00E9101A" w14:paraId="637805D2" w14:textId="54E325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463F29E8" w14:textId="3EC634C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B7B4B86" w14:textId="64A522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093256AF" w14:textId="468A38E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="00154EDA" w:rsidP="00154EDA" w:rsidRDefault="00154EDA" w14:paraId="31C8CB02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74764" w:rsidP="00154EDA" w:rsidRDefault="00174764" w14:paraId="42903895" w14:textId="7F20DC1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3ECEE5AB" w14:textId="4D598CC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A0FF5F2" w14:textId="2AA98D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154EDA" w:rsidP="00154EDA" w:rsidRDefault="00AF12F2" w14:paraId="5630AD66" w14:textId="0CCC9A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AF12F2" w14:paraId="61829076" w14:textId="6737BA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1F58162C" w14:textId="69CB6A5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E52BAC" w:rsidTr="00DB6D45" w14:paraId="2BA226A1" w14:textId="77777777">
        <w:trPr>
          <w:cantSplit/>
          <w:trHeight w:val="1304"/>
        </w:trPr>
        <w:tc>
          <w:tcPr>
            <w:tcW w:w="599" w:type="dxa"/>
            <w:vMerge/>
            <w:tcBorders>
              <w:right w:val="single" w:color="auto" w:sz="4" w:space="0"/>
            </w:tcBorders>
            <w:textDirection w:val="btLr"/>
          </w:tcPr>
          <w:p w:rsidRPr="00253AE9" w:rsidR="00E52BAC" w:rsidP="00E52BAC" w:rsidRDefault="00E52BAC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:rsidRPr="00253AE9" w:rsidR="00E52BAC" w:rsidP="00E52BAC" w:rsidRDefault="00E52BAC" w14:paraId="0DE4B5B7" w14:textId="0F09989F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Travel and Tourism (theme 3)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</w:tcPr>
          <w:p w:rsidRPr="00253AE9" w:rsidR="00E52BAC" w:rsidP="00E52BAC" w:rsidRDefault="00E52BAC" w14:paraId="66204FF1" w14:textId="2D037E29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Travel and Tourism (theme 3) </w:t>
            </w:r>
          </w:p>
        </w:tc>
        <w:tc>
          <w:tcPr>
            <w:tcW w:w="1131" w:type="dxa"/>
          </w:tcPr>
          <w:p w:rsidRPr="00253AE9" w:rsidR="00E52BAC" w:rsidP="00E52BAC" w:rsidRDefault="00E52BAC" w14:paraId="2DBF0D7D" w14:textId="0B43CEDD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Travel and Tourism (theme 3) </w:t>
            </w:r>
          </w:p>
        </w:tc>
        <w:tc>
          <w:tcPr>
            <w:tcW w:w="1132" w:type="dxa"/>
          </w:tcPr>
          <w:p w:rsidRPr="00253AE9" w:rsidR="00E52BAC" w:rsidP="00E52BAC" w:rsidRDefault="00E52BAC" w14:paraId="6B62F1B3" w14:textId="4363988D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Travel and Tourism (theme 3) </w:t>
            </w:r>
          </w:p>
        </w:tc>
        <w:tc>
          <w:tcPr>
            <w:tcW w:w="1131" w:type="dxa"/>
          </w:tcPr>
          <w:p w:rsidRPr="00253AE9" w:rsidR="00E52BAC" w:rsidP="00E52BAC" w:rsidRDefault="00E52BAC" w14:paraId="02F2C34E" w14:textId="5EE02FC3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Travel and Tourism (theme 3) 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</w:tcPr>
          <w:p w:rsidRPr="00253AE9" w:rsidR="00E52BAC" w:rsidP="00E52BAC" w:rsidRDefault="00E52BAC" w14:paraId="680A4E5D" w14:textId="5995442C">
            <w:pPr>
              <w:pStyle w:val="DCATableText"/>
              <w:jc w:val="left"/>
              <w:rPr>
                <w:sz w:val="15"/>
                <w:szCs w:val="15"/>
              </w:rPr>
            </w:pPr>
            <w:r w:rsidRPr="00E52BAC">
              <w:rPr>
                <w:color w:val="6600FF"/>
                <w:sz w:val="15"/>
                <w:szCs w:val="15"/>
              </w:rPr>
              <w:t>Travel and Tourism (theme 3)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E52BAC" w:rsidP="00E52BAC" w:rsidRDefault="00E52BAC" w14:paraId="19219836" w14:textId="450D5F0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296FEF7D" w14:textId="2D029C61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7194DBDC" w14:textId="5836081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769D0D3C" w14:textId="2BE1EFF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54CD245A" w14:textId="15BFAF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1231BE67" w14:textId="75C60421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:rsidRPr="00253AE9" w:rsidR="00E52BAC" w:rsidP="00E52BAC" w:rsidRDefault="00E52BAC" w14:paraId="36FEB5B0" w14:textId="48996CB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</w:tr>
      <w:tr w:rsidRPr="00253AE9" w:rsidR="00E52BAC" w:rsidTr="009527EB" w14:paraId="07972479" w14:textId="77777777">
        <w:trPr>
          <w:cantSplit/>
          <w:trHeight w:val="1304"/>
        </w:trPr>
        <w:tc>
          <w:tcPr>
            <w:tcW w:w="599" w:type="dxa"/>
            <w:tcBorders>
              <w:right w:val="single" w:color="auto" w:sz="4" w:space="0"/>
            </w:tcBorders>
            <w:textDirection w:val="btLr"/>
          </w:tcPr>
          <w:p w:rsidRPr="00253AE9" w:rsidR="00E52BAC" w:rsidP="00E52BAC" w:rsidRDefault="00E52BAC" w14:paraId="356D81DA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</w:tcPr>
          <w:p w:rsidRPr="00253AE9" w:rsidR="00E52BAC" w:rsidP="00E52BAC" w:rsidRDefault="00E52BAC" w14:paraId="451B5047" w14:textId="6FD7000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Weather on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</w:tcPr>
          <w:p w:rsidRPr="00253AE9" w:rsidR="00E52BAC" w:rsidP="00E52BAC" w:rsidRDefault="00E52BAC" w14:paraId="43E38397" w14:textId="2629067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Countries you visit and transport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0A3C22DB" w14:textId="0EE9580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Forms of travel / comparative and superlative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="00E52BAC" w:rsidP="00E52BAC" w:rsidRDefault="00E52BAC" w14:paraId="28E1B2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Accommodation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4011EDB8" w14:textId="7598CC3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:rsidRPr="00253AE9" w:rsidR="00E52BAC" w:rsidP="00E52BAC" w:rsidRDefault="00E52BAC" w14:paraId="0AD99499" w14:textId="01DE34D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Holiday activities (present and past)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  <w:vAlign w:val="center"/>
          </w:tcPr>
          <w:p w:rsidRPr="00253AE9" w:rsidR="00E52BAC" w:rsidP="00E52BAC" w:rsidRDefault="00E52BAC" w14:paraId="58266282" w14:textId="449DE90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dream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  <w:vAlign w:val="center"/>
          </w:tcPr>
          <w:p w:rsidRPr="00253AE9" w:rsidR="00E52BAC" w:rsidP="00E52BAC" w:rsidRDefault="00E52BAC" w14:paraId="539E0684" w14:textId="2D8CD53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Justified opinions on family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Pr="00253AE9" w:rsidR="00E52BAC" w:rsidP="00E52BAC" w:rsidRDefault="00E52BAC" w14:paraId="706CE85E" w14:textId="0EDC09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Revision for assessments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:rsidRPr="00253AE9" w:rsidR="00E52BAC" w:rsidP="00E52BAC" w:rsidRDefault="00E52BAC" w14:paraId="1D1B4600" w14:textId="2A6FE1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good friend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="00E52BAC" w:rsidP="00E52BAC" w:rsidRDefault="00E52BAC" w14:paraId="212F71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:rsidRPr="00253AE9" w:rsidR="00E52BAC" w:rsidP="00E52BAC" w:rsidRDefault="00E52BAC" w14:paraId="3A593E8C" w14:textId="342D5B3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Physical descriptions / describing your personality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:rsidRPr="00253AE9" w:rsidR="00E52BAC" w:rsidP="00E52BAC" w:rsidRDefault="00E52BAC" w14:paraId="0CC164D1" w14:textId="4B10A74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the personality of others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Pr="00253AE9" w:rsidR="00E52BAC" w:rsidP="00E52BAC" w:rsidRDefault="00E52BAC" w14:paraId="7245653D" w14:textId="58EEB4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Talking about inclusion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:rsidRPr="00253AE9" w:rsidR="00E52BAC" w:rsidP="00E52BAC" w:rsidRDefault="00E52BAC" w14:paraId="6B49C1A7" w14:textId="587F0F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your daily routine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56" w:rsidP="00120A78" w:rsidRDefault="00DD4B56" w14:paraId="0AC8D05A" w14:textId="77777777">
      <w:r>
        <w:separator/>
      </w:r>
    </w:p>
  </w:endnote>
  <w:endnote w:type="continuationSeparator" w:id="0">
    <w:p w:rsidR="00DD4B56" w:rsidP="00120A78" w:rsidRDefault="00DD4B56" w14:paraId="430E65D5" w14:textId="77777777">
      <w:r>
        <w:continuationSeparator/>
      </w:r>
    </w:p>
  </w:endnote>
  <w:endnote w:type="continuationNotice" w:id="1">
    <w:p w:rsidR="00DD4B56" w:rsidRDefault="00DD4B56" w14:paraId="42CB24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56" w:rsidP="00120A78" w:rsidRDefault="00DD4B56" w14:paraId="54ED59A9" w14:textId="77777777">
      <w:r>
        <w:separator/>
      </w:r>
    </w:p>
  </w:footnote>
  <w:footnote w:type="continuationSeparator" w:id="0">
    <w:p w:rsidR="00DD4B56" w:rsidP="00120A78" w:rsidRDefault="00DD4B56" w14:paraId="71DA732A" w14:textId="77777777">
      <w:r>
        <w:continuationSeparator/>
      </w:r>
    </w:p>
  </w:footnote>
  <w:footnote w:type="continuationNotice" w:id="1">
    <w:p w:rsidR="00DD4B56" w:rsidRDefault="00DD4B56" w14:paraId="46F027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A7A46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2BAC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3F8E16B8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  <w:style w:type="character" w:styleId="normaltextrun" w:customStyle="1">
    <w:name w:val="normaltextrun"/>
    <w:basedOn w:val="DefaultParagraphFont"/>
    <w:rsid w:val="00E52BAC"/>
  </w:style>
  <w:style w:type="character" w:styleId="eop" w:customStyle="1">
    <w:name w:val="eop"/>
    <w:basedOn w:val="DefaultParagraphFont"/>
    <w:rsid w:val="00E52BAC"/>
  </w:style>
  <w:style w:type="paragraph" w:styleId="paragraph" w:customStyle="1">
    <w:name w:val="paragraph"/>
    <w:basedOn w:val="Normal"/>
    <w:rsid w:val="00E52BA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c773b376-747a-49dd-b6f9-22f845b1ca34"/>
    <ds:schemaRef ds:uri="fef4494e-11b6-407f-b334-1b9d21b3e6b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AEA53-FDFF-453C-A96E-E2E515AEA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Zack Ruszkai - Staff - DCO</lastModifiedBy>
  <revision>3</revision>
  <lastPrinted>2018-03-29T07:47:00.0000000Z</lastPrinted>
  <dcterms:created xsi:type="dcterms:W3CDTF">2025-08-26T14:32:00.0000000Z</dcterms:created>
  <dcterms:modified xsi:type="dcterms:W3CDTF">2025-08-27T14:19:06.3306340Z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