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0E7C1FA8" w14:textId="3A8FAC08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229D9792" w:rsidR="0061780C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proofErr w:type="gramStart"/>
            <w:r>
              <w:rPr>
                <w:sz w:val="15"/>
                <w:szCs w:val="15"/>
              </w:rPr>
              <w:t>Post-16</w:t>
            </w:r>
            <w:proofErr w:type="gramEnd"/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824DD9" w:rsidRPr="00253AE9" w14:paraId="3DEEC669" w14:textId="77777777" w:rsidTr="001F0C8E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824DD9" w:rsidRPr="00253AE9" w:rsidRDefault="00824DD9" w:rsidP="00824DD9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049F31CB" w14:textId="6D3027CC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3128261" w14:textId="6B73B704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62486C05" w14:textId="514102AC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4101652C" w14:textId="461061D1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368" w:type="dxa"/>
            <w:vAlign w:val="center"/>
          </w:tcPr>
          <w:p w14:paraId="4B99056E" w14:textId="7D8566E3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299C43A" w14:textId="01C91C1D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DBEF00" w14:textId="1B482B93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Healthy Living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461D779" w14:textId="589D7BA9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Healthy Living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3CF2D8B6" w14:textId="2C9DE90C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Healthy Living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0FB78278" w14:textId="4102455B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Healthy Living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1FC39945" w14:textId="0F2B7F4A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Healthy Living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0562CB0E" w14:textId="12BEFB73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Healthy Living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</w:tr>
      <w:tr w:rsidR="00824DD9" w:rsidRPr="00253AE9" w14:paraId="6F4C8F9A" w14:textId="77777777" w:rsidTr="00B962D4">
        <w:trPr>
          <w:cantSplit/>
          <w:trHeight w:val="657"/>
        </w:trPr>
        <w:tc>
          <w:tcPr>
            <w:tcW w:w="599" w:type="dxa"/>
            <w:textDirection w:val="btLr"/>
          </w:tcPr>
          <w:p w14:paraId="173492E3" w14:textId="77777777" w:rsidR="00824DD9" w:rsidRPr="00253AE9" w:rsidRDefault="00824DD9" w:rsidP="00824DD9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6F3CA08" w14:textId="77777777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619A7E41" w14:textId="6EA40BA5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Reflexive verbs/ Family relationships 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65FB5B3" w14:textId="77777777" w:rsidR="00824DD9" w:rsidRDefault="00824DD9" w:rsidP="00824D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7EEA6C49" w14:textId="40CA5823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Physical descriptions / describing personality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02492336" w14:textId="2DA414D4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Personality of others/who you would like to be in the future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4AD8774E" w14:textId="0ABFC1E4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Relationships in the present, past and future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368" w:type="dxa"/>
            <w:vAlign w:val="center"/>
          </w:tcPr>
          <w:p w14:paraId="6D65B703" w14:textId="797DF621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Future plans</w:t>
            </w:r>
            <w:proofErr w:type="gramEnd"/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 xml:space="preserve"> for marriage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722AF076" w14:textId="705859EE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Reasons for and against marriage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457E12A" w14:textId="087EE8BD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your lifestyle present and past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DA3CE0D" w14:textId="77777777" w:rsidR="00824DD9" w:rsidRDefault="00824DD9" w:rsidP="00824D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6A6603AA" w14:textId="30248F75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Family mealtimes present and past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66A770E4" w14:textId="05A040F7" w:rsidR="00824DD9" w:rsidRPr="00253AE9" w:rsidRDefault="00824DD9" w:rsidP="00824DD9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Using the comparative and superlative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40A2B664" w14:textId="6FE905D1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Body parts / describing ailments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3D3BF2D2" w14:textId="599104B5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Opinions on healthy living / describing bad habits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3FDF299F" w14:textId="2B6E6F3E" w:rsidR="00824DD9" w:rsidRDefault="00824DD9" w:rsidP="00824DD9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how to stay in good health (modal verbs)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</w:tr>
      <w:tr w:rsidR="00154EDA" w:rsidRPr="00253AE9" w14:paraId="230D0900" w14:textId="77777777" w:rsidTr="002D07C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C92D26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70665514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3F1D0E8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3E10C7B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4335DD1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154EDA" w:rsidRPr="00253AE9" w14:paraId="03D105B2" w14:textId="77777777" w:rsidTr="00F6266B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Default="00782365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54D0B" w:rsidRPr="00253AE9" w:rsidRDefault="00D54D0B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253AE9" w:rsidRDefault="0078236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00A14B2C" w14:textId="699628A0" w:rsidR="00154EDA" w:rsidRPr="00253AE9" w:rsidRDefault="0003148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154EDA" w:rsidRPr="00253AE9" w:rsidRDefault="00061061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572867" w:rsidRDefault="0096468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14:paraId="0415C660" w14:textId="5DFDB356" w:rsidR="00154EDA" w:rsidRPr="00253AE9" w:rsidRDefault="005728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Default="00154EDA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326C0" w:rsidRPr="00253AE9" w:rsidRDefault="000326C0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154EDA" w:rsidRPr="00253AE9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Default="00154EDA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14:paraId="0756347D" w14:textId="1918C613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14:paraId="09A717BE" w14:textId="173D6EDB" w:rsidR="00A50462" w:rsidRPr="00253AE9" w:rsidRDefault="00A50462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253AE9" w:rsidRDefault="0030007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14:paraId="6B699379" w14:textId="70D5117D" w:rsidR="00154EDA" w:rsidRPr="00253AE9" w:rsidRDefault="00D57B1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="00824DD9" w:rsidRPr="00253AE9" w14:paraId="3FE9F23F" w14:textId="77777777" w:rsidTr="00A7507D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824DD9" w:rsidRPr="00253AE9" w:rsidRDefault="00824DD9" w:rsidP="00824DD9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F91" w14:textId="3D2570B7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61CDCEAD" w14:textId="6061FEDC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6BB9E253" w14:textId="623D0CB2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23DE523C" w14:textId="5B1CF456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52E56223" w14:textId="00D661C2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07547A01" w14:textId="0B807BBA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B0F" w14:textId="5B174425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36C9863E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824DD9">
              <w:rPr>
                <w:color w:val="538135" w:themeColor="accent6" w:themeShade="BF"/>
                <w:sz w:val="15"/>
                <w:szCs w:val="15"/>
              </w:rPr>
              <w:t>Free time activities (theme 2)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63ACAB58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824DD9">
              <w:rPr>
                <w:color w:val="538135" w:themeColor="accent6" w:themeShade="BF"/>
                <w:sz w:val="15"/>
                <w:szCs w:val="15"/>
              </w:rPr>
              <w:t>Free time activities (theme 2) </w:t>
            </w:r>
          </w:p>
        </w:tc>
        <w:tc>
          <w:tcPr>
            <w:tcW w:w="1132" w:type="dxa"/>
          </w:tcPr>
          <w:p w14:paraId="6DFB9E20" w14:textId="65AF42BD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9534AB">
              <w:rPr>
                <w:color w:val="538135" w:themeColor="accent6" w:themeShade="BF"/>
                <w:sz w:val="15"/>
                <w:szCs w:val="15"/>
              </w:rPr>
              <w:t>Free time activities (theme 2) </w:t>
            </w:r>
          </w:p>
        </w:tc>
        <w:tc>
          <w:tcPr>
            <w:tcW w:w="1131" w:type="dxa"/>
          </w:tcPr>
          <w:p w14:paraId="70DF9E56" w14:textId="0FA03065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9534AB">
              <w:rPr>
                <w:color w:val="538135" w:themeColor="accent6" w:themeShade="BF"/>
                <w:sz w:val="15"/>
                <w:szCs w:val="15"/>
              </w:rPr>
              <w:t>Free time activities (theme 2) </w:t>
            </w:r>
          </w:p>
        </w:tc>
        <w:tc>
          <w:tcPr>
            <w:tcW w:w="1132" w:type="dxa"/>
          </w:tcPr>
          <w:p w14:paraId="44E871BC" w14:textId="0F6D4891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9534AB">
              <w:rPr>
                <w:color w:val="538135" w:themeColor="accent6" w:themeShade="BF"/>
                <w:sz w:val="15"/>
                <w:szCs w:val="15"/>
              </w:rPr>
              <w:t>Free time activities (theme 2) </w:t>
            </w:r>
          </w:p>
        </w:tc>
        <w:tc>
          <w:tcPr>
            <w:tcW w:w="1132" w:type="dxa"/>
          </w:tcPr>
          <w:p w14:paraId="144A5D23" w14:textId="6E85AD27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9534AB">
              <w:rPr>
                <w:color w:val="538135" w:themeColor="accent6" w:themeShade="BF"/>
                <w:sz w:val="15"/>
                <w:szCs w:val="15"/>
              </w:rPr>
              <w:t>Free time activities (theme 2) </w:t>
            </w:r>
          </w:p>
        </w:tc>
      </w:tr>
      <w:tr w:rsidR="00824DD9" w:rsidRPr="00253AE9" w14:paraId="3CDC2E11" w14:textId="77777777" w:rsidTr="00C46B9A">
        <w:trPr>
          <w:cantSplit/>
          <w:trHeight w:val="655"/>
        </w:trPr>
        <w:tc>
          <w:tcPr>
            <w:tcW w:w="599" w:type="dxa"/>
            <w:textDirection w:val="btLr"/>
          </w:tcPr>
          <w:p w14:paraId="21239FCB" w14:textId="77777777" w:rsidR="00824DD9" w:rsidRPr="00253AE9" w:rsidRDefault="00824DD9" w:rsidP="00824DD9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CA3B" w14:textId="77777777" w:rsidR="00824DD9" w:rsidRDefault="00824DD9" w:rsidP="00824D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6EB5F780" w14:textId="1C0FFD8C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Weather/ Countries you visit 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2C7E9B9C" w14:textId="77777777" w:rsidR="00824DD9" w:rsidRDefault="00824DD9" w:rsidP="00824D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55E4D1A6" w14:textId="1024688C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Forms of travel / comparative and superlative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464BB9BA" w14:textId="5FCB712A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Revision for assessment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6220E80A" w14:textId="1AC13BD7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Accommodation / Describing a past holiday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2372AED0" w14:textId="022169F2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Holiday activities (present and past)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01A9199D" w14:textId="56EA1D4A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a dream holiday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4A6A" w14:textId="6E727873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a holiday disaster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35BAF0F" w14:textId="5C50C2B9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Present tense verbs to do with hobbies / daily routines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0F579CA2" w14:textId="214B1E22" w:rsidR="00824DD9" w:rsidRPr="00824DD9" w:rsidRDefault="00824DD9" w:rsidP="00824DD9">
            <w:pPr>
              <w:pStyle w:val="DCATableText"/>
              <w:jc w:val="left"/>
              <w:rPr>
                <w:sz w:val="15"/>
                <w:szCs w:val="15"/>
                <w:lang w:val="fr-FR"/>
              </w:rPr>
            </w:pPr>
            <w:proofErr w:type="spellStart"/>
            <w:r w:rsidRPr="00824DD9"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  <w:lang w:val="fr-FR"/>
              </w:rPr>
              <w:t>Prepositions</w:t>
            </w:r>
            <w:proofErr w:type="spellEnd"/>
            <w:r w:rsidRPr="00824DD9"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  <w:lang w:val="fr-FR"/>
              </w:rPr>
              <w:t xml:space="preserve"> au/de la/du/de </w:t>
            </w:r>
            <w:proofErr w:type="gramStart"/>
            <w:r w:rsidRPr="00824DD9"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  <w:lang w:val="fr-FR"/>
              </w:rPr>
              <w:t xml:space="preserve">l’ </w:t>
            </w:r>
            <w:proofErr w:type="spellStart"/>
            <w:r w:rsidRPr="00824DD9"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  <w:lang w:val="fr-FR"/>
              </w:rPr>
              <w:t>with</w:t>
            </w:r>
            <w:proofErr w:type="spellEnd"/>
            <w:proofErr w:type="gramEnd"/>
            <w:r w:rsidRPr="00824DD9"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  <w:lang w:val="fr-FR"/>
              </w:rPr>
              <w:t xml:space="preserve"> jouer / faire</w:t>
            </w:r>
            <w:r w:rsidRPr="00824DD9">
              <w:rPr>
                <w:rStyle w:val="eop"/>
                <w:rFonts w:ascii="Calibri" w:hAnsi="Calibri" w:cs="Calibri"/>
                <w:color w:val="000000"/>
                <w:sz w:val="15"/>
                <w:szCs w:val="15"/>
                <w:lang w:val="fr-FR"/>
              </w:rPr>
              <w:t> </w:t>
            </w:r>
          </w:p>
        </w:tc>
        <w:tc>
          <w:tcPr>
            <w:tcW w:w="1132" w:type="dxa"/>
          </w:tcPr>
          <w:p w14:paraId="59CFB98B" w14:textId="77777777" w:rsidR="00824DD9" w:rsidRPr="00824DD9" w:rsidRDefault="00824DD9" w:rsidP="00824D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r w:rsidRPr="00824DD9">
              <w:rPr>
                <w:rStyle w:val="eop"/>
                <w:rFonts w:ascii="Calibri" w:hAnsi="Calibri" w:cs="Calibri"/>
                <w:color w:val="000000"/>
                <w:sz w:val="15"/>
                <w:szCs w:val="15"/>
                <w:lang w:val="fr-FR"/>
              </w:rPr>
              <w:t> </w:t>
            </w:r>
          </w:p>
          <w:p w14:paraId="2F209F96" w14:textId="110DF65F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Verbs / Adverbs / Time expressions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1" w:type="dxa"/>
          </w:tcPr>
          <w:p w14:paraId="119701D4" w14:textId="5FB14B10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Opinions on reading / TV / cinema / music 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692DEEAA" w14:textId="2F9999A1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 Sport v music/ comparatives and superlatives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2229E8FE" w14:textId="32A76FC9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What you did last weekend / plans for next weekend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</w:tr>
      <w:tr w:rsidR="00154EDA" w:rsidRPr="00253AE9" w14:paraId="09D9F4AB" w14:textId="77777777" w:rsidTr="002D07C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154EDA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75EC5E79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4EECBD4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793AF24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14:paraId="6D599AA4" w14:textId="33F38D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154EDA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637805D2" w14:textId="54E32549" w:rsidR="00C10857" w:rsidRPr="00253AE9" w:rsidRDefault="00E9101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31C8CB02" w14:textId="77777777" w:rsidR="00154EDA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174764" w:rsidRPr="00253AE9" w:rsidRDefault="00174764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824DD9" w:rsidRPr="00253AE9" w14:paraId="2BA226A1" w14:textId="77777777" w:rsidTr="00824DD9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824DD9" w:rsidRPr="00253AE9" w:rsidRDefault="00824DD9" w:rsidP="00824DD9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DE4B5B7" w14:textId="1E31E496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986723"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  <w:shd w:val="clear" w:color="auto" w:fill="FFFFFF"/>
              </w:rPr>
              <w:t>Education – School, Work and Future plans (theme 1)</w:t>
            </w:r>
            <w:r w:rsidRPr="00986723">
              <w:rPr>
                <w:rStyle w:val="eop"/>
                <w:rFonts w:ascii="Calibri" w:hAnsi="Calibri" w:cs="Calibri"/>
                <w:color w:val="833C0B"/>
                <w:sz w:val="15"/>
                <w:szCs w:val="15"/>
                <w:shd w:val="clear" w:color="auto" w:fill="FFFFFF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6204FF1" w14:textId="7B1B0CAE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986723"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  <w:shd w:val="clear" w:color="auto" w:fill="FFFFFF"/>
              </w:rPr>
              <w:t>Education – School, Work and Future plans (theme 1)</w:t>
            </w:r>
            <w:r w:rsidRPr="00986723">
              <w:rPr>
                <w:rStyle w:val="eop"/>
                <w:rFonts w:ascii="Calibri" w:hAnsi="Calibri" w:cs="Calibri"/>
                <w:color w:val="833C0B"/>
                <w:sz w:val="15"/>
                <w:szCs w:val="15"/>
                <w:shd w:val="clear" w:color="auto" w:fill="FFFFFF"/>
              </w:rPr>
              <w:t> </w:t>
            </w:r>
          </w:p>
        </w:tc>
        <w:tc>
          <w:tcPr>
            <w:tcW w:w="1131" w:type="dxa"/>
          </w:tcPr>
          <w:p w14:paraId="2DBF0D7D" w14:textId="57C26645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986723"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  <w:shd w:val="clear" w:color="auto" w:fill="FFFFFF"/>
              </w:rPr>
              <w:t>Education – School, Work and Future plans (theme 1)</w:t>
            </w:r>
            <w:r w:rsidRPr="00986723">
              <w:rPr>
                <w:rStyle w:val="eop"/>
                <w:rFonts w:ascii="Calibri" w:hAnsi="Calibri" w:cs="Calibri"/>
                <w:color w:val="833C0B"/>
                <w:sz w:val="15"/>
                <w:szCs w:val="15"/>
                <w:shd w:val="clear" w:color="auto" w:fill="FFFFFF"/>
              </w:rPr>
              <w:t> </w:t>
            </w:r>
          </w:p>
        </w:tc>
        <w:tc>
          <w:tcPr>
            <w:tcW w:w="1132" w:type="dxa"/>
          </w:tcPr>
          <w:p w14:paraId="6B62F1B3" w14:textId="57DA5708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986723"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  <w:shd w:val="clear" w:color="auto" w:fill="FFFFFF"/>
              </w:rPr>
              <w:t>Education – School, Work and Future plans (theme 1)</w:t>
            </w:r>
            <w:r w:rsidRPr="00986723">
              <w:rPr>
                <w:rStyle w:val="eop"/>
                <w:rFonts w:ascii="Calibri" w:hAnsi="Calibri" w:cs="Calibri"/>
                <w:color w:val="833C0B"/>
                <w:sz w:val="15"/>
                <w:szCs w:val="15"/>
                <w:shd w:val="clear" w:color="auto" w:fill="FFFFFF"/>
              </w:rPr>
              <w:t> </w:t>
            </w:r>
          </w:p>
        </w:tc>
        <w:tc>
          <w:tcPr>
            <w:tcW w:w="1131" w:type="dxa"/>
          </w:tcPr>
          <w:p w14:paraId="02F2C34E" w14:textId="6E49B24F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986723"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  <w:shd w:val="clear" w:color="auto" w:fill="FFFFFF"/>
              </w:rPr>
              <w:t>Education – School, Work and Future plans (theme 1)</w:t>
            </w:r>
            <w:r w:rsidRPr="00986723">
              <w:rPr>
                <w:rStyle w:val="eop"/>
                <w:rFonts w:ascii="Calibri" w:hAnsi="Calibri" w:cs="Calibri"/>
                <w:color w:val="833C0B"/>
                <w:sz w:val="15"/>
                <w:szCs w:val="15"/>
                <w:shd w:val="clear" w:color="auto" w:fill="FFFFFF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80A4E5D" w14:textId="1C4A69D3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986723"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  <w:shd w:val="clear" w:color="auto" w:fill="FFFFFF"/>
              </w:rPr>
              <w:t>Education – School, Work and Future plans (theme 1)</w:t>
            </w:r>
            <w:r w:rsidRPr="00986723">
              <w:rPr>
                <w:rStyle w:val="eop"/>
                <w:rFonts w:ascii="Calibri" w:hAnsi="Calibri" w:cs="Calibri"/>
                <w:color w:val="833C0B"/>
                <w:sz w:val="15"/>
                <w:szCs w:val="15"/>
                <w:shd w:val="clear" w:color="auto" w:fill="FFFFFF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9219836" w14:textId="50C57ED4" w:rsidR="00824DD9" w:rsidRPr="00824DD9" w:rsidRDefault="00824DD9" w:rsidP="00824DD9">
            <w:pPr>
              <w:pStyle w:val="DCATableText"/>
              <w:jc w:val="left"/>
              <w:rPr>
                <w:color w:val="538135" w:themeColor="accent6" w:themeShade="BF"/>
                <w:sz w:val="15"/>
                <w:szCs w:val="15"/>
              </w:rPr>
            </w:pPr>
            <w:r w:rsidRPr="00824DD9">
              <w:rPr>
                <w:color w:val="538135" w:themeColor="accent6" w:themeShade="BF"/>
                <w:sz w:val="15"/>
                <w:szCs w:val="15"/>
              </w:rPr>
              <w:t>Media, Technology and Celebrity culture (theme 2) </w:t>
            </w:r>
          </w:p>
        </w:tc>
        <w:tc>
          <w:tcPr>
            <w:tcW w:w="1132" w:type="dxa"/>
          </w:tcPr>
          <w:p w14:paraId="296FEF7D" w14:textId="3CCEF207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824DD9">
              <w:rPr>
                <w:color w:val="538135" w:themeColor="accent6" w:themeShade="BF"/>
                <w:sz w:val="15"/>
                <w:szCs w:val="15"/>
              </w:rPr>
              <w:t>Media, Technology and Celebrity culture (theme 2) </w:t>
            </w:r>
          </w:p>
        </w:tc>
        <w:tc>
          <w:tcPr>
            <w:tcW w:w="1131" w:type="dxa"/>
          </w:tcPr>
          <w:p w14:paraId="7194DBDC" w14:textId="10745E40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824DD9">
              <w:rPr>
                <w:color w:val="538135" w:themeColor="accent6" w:themeShade="BF"/>
                <w:sz w:val="15"/>
                <w:szCs w:val="15"/>
              </w:rPr>
              <w:t>Media, Technology and Celebrity culture (theme 2) </w:t>
            </w:r>
          </w:p>
        </w:tc>
        <w:tc>
          <w:tcPr>
            <w:tcW w:w="1132" w:type="dxa"/>
          </w:tcPr>
          <w:p w14:paraId="769D0D3C" w14:textId="5B508508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824DD9">
              <w:rPr>
                <w:color w:val="538135" w:themeColor="accent6" w:themeShade="BF"/>
                <w:sz w:val="15"/>
                <w:szCs w:val="15"/>
              </w:rPr>
              <w:t>Media, Technology and Celebrity culture (theme 2) </w:t>
            </w:r>
          </w:p>
        </w:tc>
        <w:tc>
          <w:tcPr>
            <w:tcW w:w="1131" w:type="dxa"/>
          </w:tcPr>
          <w:p w14:paraId="54CD245A" w14:textId="3B0C7533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824DD9">
              <w:rPr>
                <w:color w:val="538135" w:themeColor="accent6" w:themeShade="BF"/>
                <w:sz w:val="15"/>
                <w:szCs w:val="15"/>
              </w:rPr>
              <w:t>Media, Technology and Celebrity culture (theme 2) </w:t>
            </w:r>
          </w:p>
        </w:tc>
        <w:tc>
          <w:tcPr>
            <w:tcW w:w="1132" w:type="dxa"/>
          </w:tcPr>
          <w:p w14:paraId="1231BE67" w14:textId="67F8F194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824DD9">
              <w:rPr>
                <w:color w:val="538135" w:themeColor="accent6" w:themeShade="BF"/>
                <w:sz w:val="15"/>
                <w:szCs w:val="15"/>
              </w:rPr>
              <w:t>Media, Technology and Celebrity culture (theme 2) </w:t>
            </w:r>
          </w:p>
        </w:tc>
        <w:tc>
          <w:tcPr>
            <w:tcW w:w="1132" w:type="dxa"/>
          </w:tcPr>
          <w:p w14:paraId="36FEB5B0" w14:textId="5458A29E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 w:rsidRPr="00824DD9">
              <w:rPr>
                <w:color w:val="538135" w:themeColor="accent6" w:themeShade="BF"/>
                <w:sz w:val="15"/>
                <w:szCs w:val="15"/>
              </w:rPr>
              <w:t>Media, Technology and Celebrity culture (theme 2) </w:t>
            </w:r>
          </w:p>
        </w:tc>
      </w:tr>
      <w:tr w:rsidR="00824DD9" w:rsidRPr="00253AE9" w14:paraId="227FB773" w14:textId="77777777" w:rsidTr="00D43B1C">
        <w:trPr>
          <w:cantSplit/>
          <w:trHeight w:val="1304"/>
        </w:trPr>
        <w:tc>
          <w:tcPr>
            <w:tcW w:w="599" w:type="dxa"/>
            <w:tcBorders>
              <w:right w:val="single" w:sz="4" w:space="0" w:color="auto"/>
            </w:tcBorders>
            <w:textDirection w:val="btLr"/>
          </w:tcPr>
          <w:p w14:paraId="53F36B84" w14:textId="77777777" w:rsidR="00824DD9" w:rsidRPr="00253AE9" w:rsidRDefault="00824DD9" w:rsidP="00824DD9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822094E" w14:textId="77777777" w:rsidR="00824DD9" w:rsidRDefault="00824DD9" w:rsidP="00824D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7CCBE307" w14:textId="77777777" w:rsidR="00824DD9" w:rsidRDefault="00824DD9" w:rsidP="00824D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Verbs (regular and irregular)/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3C709121" w14:textId="34D180C0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Subjects and opinions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4450D4E" w14:textId="77777777" w:rsidR="00824DD9" w:rsidRDefault="00824DD9" w:rsidP="00824D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457C613A" w14:textId="481C5515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teachers 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</w:tcPr>
          <w:p w14:paraId="01F8E81D" w14:textId="77777777" w:rsidR="00824DD9" w:rsidRDefault="00824DD9" w:rsidP="00824D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4FAAB76D" w14:textId="44ED6013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Opinions on school rules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634BA3C4" w14:textId="618B93F1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School life here and in Francophonie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67D687DE" w14:textId="42B769A1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Primary school and comparing with secondary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115C209B" w14:textId="77777777" w:rsidR="00824DD9" w:rsidRDefault="00824DD9" w:rsidP="00824D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2C273E8B" w14:textId="165B88FE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your ideal school / school life you would change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78972DBD" w14:textId="5C35952C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Technology verbs and nouns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5AC2A44B" w14:textId="0EA89E37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Revision for assessments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</w:tcPr>
          <w:p w14:paraId="7825BC2A" w14:textId="75CA66AA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Use of technology present and past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5AB09F2D" w14:textId="70D17AEC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Time frequency and complex opinions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</w:tcPr>
          <w:p w14:paraId="44D76E5E" w14:textId="2F65909E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Dangers online / using the negative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17B1F101" w14:textId="6669D1FE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Comparatives and superlatives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</w:tcPr>
          <w:p w14:paraId="20777993" w14:textId="04A9D9E4" w:rsidR="00824DD9" w:rsidRPr="00253AE9" w:rsidRDefault="00824DD9" w:rsidP="00824DD9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Technology in the future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D05A" w14:textId="77777777" w:rsidR="00DD4B56" w:rsidRDefault="00DD4B56" w:rsidP="00120A78">
      <w:r>
        <w:separator/>
      </w:r>
    </w:p>
  </w:endnote>
  <w:endnote w:type="continuationSeparator" w:id="0">
    <w:p w14:paraId="430E65D5" w14:textId="77777777" w:rsidR="00DD4B56" w:rsidRDefault="00DD4B56" w:rsidP="00120A78">
      <w:r>
        <w:continuationSeparator/>
      </w:r>
    </w:p>
  </w:endnote>
  <w:endnote w:type="continuationNotice" w:id="1">
    <w:p w14:paraId="42CB24A0" w14:textId="77777777" w:rsidR="00DD4B56" w:rsidRDefault="00DD4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59A9" w14:textId="77777777" w:rsidR="00DD4B56" w:rsidRDefault="00DD4B56" w:rsidP="00120A78">
      <w:r>
        <w:separator/>
      </w:r>
    </w:p>
  </w:footnote>
  <w:footnote w:type="continuationSeparator" w:id="0">
    <w:p w14:paraId="71DA732A" w14:textId="77777777" w:rsidR="00DD4B56" w:rsidRDefault="00DD4B56" w:rsidP="00120A78">
      <w:r>
        <w:continuationSeparator/>
      </w:r>
    </w:p>
  </w:footnote>
  <w:footnote w:type="continuationNotice" w:id="1">
    <w:p w14:paraId="46F027B7" w14:textId="77777777" w:rsidR="00DD4B56" w:rsidRDefault="00DD4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5B4"/>
    <w:rsid w:val="00800AE0"/>
    <w:rsid w:val="008176F4"/>
    <w:rsid w:val="00824DD9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A7A46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  <w:style w:type="character" w:customStyle="1" w:styleId="normaltextrun">
    <w:name w:val="normaltextrun"/>
    <w:basedOn w:val="DefaultParagraphFont"/>
    <w:rsid w:val="00824DD9"/>
  </w:style>
  <w:style w:type="character" w:customStyle="1" w:styleId="eop">
    <w:name w:val="eop"/>
    <w:basedOn w:val="DefaultParagraphFont"/>
    <w:rsid w:val="00824DD9"/>
  </w:style>
  <w:style w:type="paragraph" w:customStyle="1" w:styleId="paragraph">
    <w:name w:val="paragraph"/>
    <w:basedOn w:val="Normal"/>
    <w:rsid w:val="00824D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B3DCE-57FD-4C70-9CC4-F4160DA096D2}">
  <ds:schemaRefs>
    <ds:schemaRef ds:uri="http://purl.org/dc/terms/"/>
    <ds:schemaRef ds:uri="http://purl.org/dc/dcmitype/"/>
    <ds:schemaRef ds:uri="fef4494e-11b6-407f-b334-1b9d21b3e6b6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773b376-747a-49dd-b6f9-22f845b1ca34"/>
  </ds:schemaRefs>
</ds:datastoreItem>
</file>

<file path=customXml/itemProps3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20CAA1-F1A8-4848-B7A0-B7AB295D6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Nicola Kimachia - Staff - DCO</cp:lastModifiedBy>
  <cp:revision>2</cp:revision>
  <cp:lastPrinted>2018-03-29T07:47:00Z</cp:lastPrinted>
  <dcterms:created xsi:type="dcterms:W3CDTF">2025-08-26T14:13:00Z</dcterms:created>
  <dcterms:modified xsi:type="dcterms:W3CDTF">2025-08-26T14:13:00Z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